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280167">
      <w:pPr>
        <w:rPr>
          <w:lang w:val="en-US"/>
        </w:rPr>
      </w:pPr>
      <w:r w:rsidRPr="0028016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3228813</wp:posOffset>
            </wp:positionH>
            <wp:positionV relativeFrom="paragraph">
              <wp:posOffset>28940</wp:posOffset>
            </wp:positionV>
            <wp:extent cx="1868116" cy="690664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2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/>
    <w:p w:rsidR="00280167" w:rsidRDefault="00280167"/>
    <w:p w:rsidR="00280167" w:rsidRDefault="00280167" w:rsidP="00280167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280167" w:rsidRDefault="00280167" w:rsidP="00280167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280167" w:rsidRPr="00280167" w:rsidRDefault="00280167"/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9B0EC9" w:rsidRPr="006146A7" w:rsidRDefault="00280167" w:rsidP="00940D94">
      <w:pPr>
        <w:jc w:val="center"/>
      </w:pPr>
      <w:r w:rsidRPr="00BA7A0F">
        <w:rPr>
          <w:rFonts w:ascii="Arial" w:hAnsi="Arial" w:cs="Arial"/>
          <w:sz w:val="48"/>
          <w:szCs w:val="48"/>
          <w:lang w:val="en-US"/>
        </w:rPr>
        <w:t>DELI</w:t>
      </w:r>
      <w:r w:rsidRPr="00731158">
        <w:rPr>
          <w:rFonts w:ascii="Arial" w:hAnsi="Arial" w:cs="Arial"/>
          <w:sz w:val="48"/>
          <w:szCs w:val="48"/>
        </w:rPr>
        <w:t xml:space="preserve"> </w:t>
      </w:r>
      <w:r w:rsidR="006151A7" w:rsidRPr="00731158">
        <w:rPr>
          <w:rFonts w:ascii="Arial" w:hAnsi="Arial" w:cs="Arial"/>
          <w:sz w:val="48"/>
          <w:szCs w:val="48"/>
        </w:rPr>
        <w:t xml:space="preserve">  </w:t>
      </w:r>
      <w:r w:rsidR="006146A7" w:rsidRPr="006146A7">
        <w:rPr>
          <w:rFonts w:ascii="Arial" w:hAnsi="Arial" w:cs="Arial"/>
          <w:sz w:val="48"/>
          <w:szCs w:val="48"/>
          <w:lang w:val="en-US"/>
        </w:rPr>
        <w:t>EM</w:t>
      </w:r>
      <w:r w:rsidR="006146A7" w:rsidRPr="006146A7">
        <w:rPr>
          <w:rFonts w:ascii="Arial" w:hAnsi="Arial" w:cs="Arial"/>
          <w:sz w:val="48"/>
          <w:szCs w:val="48"/>
        </w:rPr>
        <w:t>120</w:t>
      </w:r>
      <w:r w:rsidR="006146A7">
        <w:rPr>
          <w:rFonts w:ascii="Arial" w:hAnsi="Arial" w:cs="Arial"/>
          <w:sz w:val="48"/>
          <w:szCs w:val="48"/>
        </w:rPr>
        <w:t xml:space="preserve">, </w:t>
      </w:r>
      <w:r w:rsidR="006146A7" w:rsidRPr="006146A7">
        <w:rPr>
          <w:rFonts w:ascii="Arial" w:hAnsi="Arial" w:cs="Arial"/>
          <w:sz w:val="48"/>
          <w:szCs w:val="48"/>
        </w:rPr>
        <w:t>M120</w:t>
      </w:r>
    </w:p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9B0EC9" w:rsidRPr="00731158" w:rsidRDefault="009B0EC9"/>
    <w:p w:rsidR="00280167" w:rsidRPr="00731158" w:rsidRDefault="00280167">
      <w:pPr>
        <w:rPr>
          <w:lang w:eastAsia="zh-CN"/>
        </w:rPr>
      </w:pPr>
    </w:p>
    <w:p w:rsidR="00CB4679" w:rsidRPr="003B6B9D" w:rsidRDefault="00CB4679">
      <w:pPr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lastRenderedPageBreak/>
        <w:t>К</w:t>
      </w:r>
      <w:r w:rsidRPr="003B6B9D">
        <w:rPr>
          <w:rFonts w:cs="Times New Roman"/>
          <w:b/>
          <w:sz w:val="56"/>
          <w:szCs w:val="56"/>
        </w:rPr>
        <w:t>алькулятор с двойной памятью</w:t>
      </w:r>
    </w:p>
    <w:p w:rsidR="00CB4679" w:rsidRPr="003B6B9D" w:rsidRDefault="00CB4679">
      <w:pPr>
        <w:rPr>
          <w:rFonts w:cs="Times New Roman"/>
          <w:b/>
          <w:sz w:val="56"/>
          <w:szCs w:val="56"/>
        </w:rPr>
      </w:pPr>
    </w:p>
    <w:p w:rsidR="009B0EC9" w:rsidRPr="00331EDB" w:rsidRDefault="00DC7E3D">
      <w:pPr>
        <w:rPr>
          <w:rFonts w:cs="Times New Roman"/>
          <w:b/>
          <w:sz w:val="56"/>
          <w:szCs w:val="56"/>
        </w:rPr>
      </w:pPr>
      <w:r w:rsidRPr="00331EDB">
        <w:rPr>
          <w:rFonts w:cs="Times New Roman"/>
          <w:b/>
          <w:sz w:val="56"/>
          <w:szCs w:val="56"/>
        </w:rPr>
        <w:t>Основные функции</w:t>
      </w:r>
    </w:p>
    <w:p w:rsidR="009B0EC9" w:rsidRDefault="009B0EC9"/>
    <w:p w:rsidR="00DC7E3D" w:rsidRDefault="00FF3EAF">
      <w:r>
        <w:rPr>
          <w:noProof/>
          <w:lang w:eastAsia="ru-RU"/>
        </w:rPr>
        <w:drawing>
          <wp:inline distT="0" distB="0" distL="0" distR="0">
            <wp:extent cx="5877560" cy="5651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3D" w:rsidRPr="007E3D91" w:rsidRDefault="00E137DB">
      <w:r w:rsidRPr="00E137DB">
        <w:rPr>
          <w:noProof/>
          <w:lang w:eastAsia="ru-RU"/>
        </w:rPr>
        <w:drawing>
          <wp:inline distT="0" distB="0" distL="0" distR="0">
            <wp:extent cx="5940425" cy="3899535"/>
            <wp:effectExtent l="19050" t="0" r="3175" b="0"/>
            <wp:docPr id="2" name="Рисунок 3" descr="11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137DB">
        <w:rPr>
          <w:noProof/>
          <w:lang w:eastAsia="ru-RU"/>
        </w:rPr>
        <w:drawing>
          <wp:inline distT="0" distB="0" distL="0" distR="0">
            <wp:extent cx="5940425" cy="814705"/>
            <wp:effectExtent l="19050" t="0" r="3175" b="0"/>
            <wp:docPr id="5" name="Рисунок 4" descr="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4892723" cy="1568694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0" cy="15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  <w:lang w:val="en-US"/>
        </w:rPr>
      </w:pPr>
    </w:p>
    <w:p w:rsidR="00E2671F" w:rsidRPr="00E2671F" w:rsidRDefault="00E2671F">
      <w:pPr>
        <w:rPr>
          <w:b/>
          <w:sz w:val="56"/>
          <w:szCs w:val="56"/>
          <w:lang w:val="en-US"/>
        </w:rPr>
      </w:pPr>
    </w:p>
    <w:p w:rsidR="00DC7E3D" w:rsidRPr="00C463BD" w:rsidRDefault="00CB0227">
      <w:pPr>
        <w:rPr>
          <w:b/>
          <w:sz w:val="56"/>
          <w:szCs w:val="56"/>
        </w:rPr>
      </w:pPr>
      <w:r w:rsidRPr="00C463BD">
        <w:rPr>
          <w:b/>
          <w:sz w:val="56"/>
          <w:szCs w:val="56"/>
        </w:rPr>
        <w:t>Положение переключателей</w:t>
      </w:r>
    </w:p>
    <w:p w:rsidR="004B7DCD" w:rsidRPr="006E4AA3" w:rsidRDefault="00A86F84" w:rsidP="00A86F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t>ТАВ-А</w:t>
      </w:r>
      <w:r w:rsidR="004B7D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17B5" w:rsidRPr="006E4AA3">
        <w:rPr>
          <w:b/>
        </w:rPr>
        <w:t>ВЫБОР РЕЖИМА ОКРУГЛЕНИЯ</w:t>
      </w:r>
    </w:p>
    <w:p w:rsidR="004817B5" w:rsidRDefault="004817B5" w:rsidP="00C62D5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57600" cy="92012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52" cy="91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B5" w:rsidRDefault="00C62D56" w:rsidP="004817B5">
      <w:pPr>
        <w:ind w:left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DCD" w:rsidRPr="004B7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B5" w:rsidRDefault="004817B5" w:rsidP="004817B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43815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t xml:space="preserve">Округление в большую сторону. </w:t>
      </w:r>
    </w:p>
    <w:p w:rsidR="004817B5" w:rsidRPr="004817B5" w:rsidRDefault="000004B6" w:rsidP="004817B5">
      <w:pPr>
        <w:rPr>
          <w:b/>
          <w:sz w:val="40"/>
          <w:szCs w:val="40"/>
        </w:rPr>
      </w:pPr>
      <w:r w:rsidRPr="000004B6">
        <w:rPr>
          <w:b/>
          <w:sz w:val="40"/>
          <w:szCs w:val="40"/>
        </w:rPr>
        <w:t xml:space="preserve">  </w:t>
      </w:r>
      <w:r w:rsidR="004817B5" w:rsidRPr="004817B5">
        <w:rPr>
          <w:b/>
          <w:sz w:val="40"/>
          <w:szCs w:val="40"/>
        </w:rPr>
        <w:t>5/4</w:t>
      </w:r>
      <w:r w:rsidR="004817B5">
        <w:rPr>
          <w:b/>
          <w:sz w:val="40"/>
          <w:szCs w:val="40"/>
        </w:rPr>
        <w:t xml:space="preserve">               </w:t>
      </w:r>
      <w:r w:rsidR="004817B5">
        <w:t>Отключение округления.</w:t>
      </w:r>
    </w:p>
    <w:p w:rsidR="004817B5" w:rsidRDefault="004817B5" w:rsidP="004817B5">
      <w:r>
        <w:rPr>
          <w:noProof/>
          <w:lang w:eastAsia="ru-RU"/>
        </w:rPr>
        <w:drawing>
          <wp:inline distT="0" distB="0" distL="0" distR="0">
            <wp:extent cx="857250" cy="409575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4817B5">
        <w:t xml:space="preserve"> </w:t>
      </w:r>
      <w:r>
        <w:t>Округление в меньшую сторону.</w:t>
      </w:r>
    </w:p>
    <w:p w:rsidR="004817B5" w:rsidRDefault="004817B5" w:rsidP="004817B5"/>
    <w:p w:rsidR="004817B5" w:rsidRPr="000004B6" w:rsidRDefault="007669F9" w:rsidP="004817B5">
      <w:r>
        <w:rPr>
          <w:noProof/>
          <w:lang w:eastAsia="ru-RU"/>
        </w:rPr>
        <w:drawing>
          <wp:inline distT="0" distB="0" distL="0" distR="0">
            <wp:extent cx="876300" cy="41910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9F9">
        <w:t xml:space="preserve">    </w:t>
      </w:r>
      <w:r w:rsidR="000004B6" w:rsidRPr="000004B6">
        <w:t xml:space="preserve">       </w:t>
      </w:r>
      <w:r w:rsidRPr="007669F9">
        <w:t xml:space="preserve">  </w:t>
      </w:r>
      <w:r w:rsidR="000004B6">
        <w:t>П</w:t>
      </w:r>
      <w:r w:rsidRPr="007669F9">
        <w:t>осле округления, чтобы сохранить две десятичные цифры</w:t>
      </w:r>
    </w:p>
    <w:p w:rsidR="00C04E94" w:rsidRDefault="00C04E94" w:rsidP="004817B5"/>
    <w:p w:rsidR="00A51CEE" w:rsidRDefault="00A51CEE" w:rsidP="004817B5"/>
    <w:p w:rsidR="00A51CEE" w:rsidRPr="000004B6" w:rsidRDefault="00A51CEE" w:rsidP="004817B5"/>
    <w:p w:rsidR="00C04E94" w:rsidRPr="000004B6" w:rsidRDefault="00C04E94" w:rsidP="004817B5"/>
    <w:p w:rsidR="000004B6" w:rsidRPr="000004B6" w:rsidRDefault="00C04E94" w:rsidP="000004B6">
      <w:pPr>
        <w:pStyle w:val="a5"/>
        <w:numPr>
          <w:ilvl w:val="0"/>
          <w:numId w:val="6"/>
        </w:numPr>
        <w:rPr>
          <w:b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lastRenderedPageBreak/>
        <w:t>ТАВ-</w:t>
      </w:r>
      <w:proofErr w:type="gramStart"/>
      <w:r w:rsidRPr="000004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Pr="000004B6">
        <w:rPr>
          <w:rFonts w:ascii="Times New Roman" w:hAnsi="Times New Roman" w:cs="Times New Roman"/>
          <w:sz w:val="24"/>
          <w:szCs w:val="24"/>
        </w:rPr>
        <w:t xml:space="preserve"> </w:t>
      </w:r>
      <w:r w:rsidR="000004B6" w:rsidRPr="000004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04B6" w:rsidRPr="00C7042F">
        <w:rPr>
          <w:b/>
        </w:rPr>
        <w:t>ВЫБОР КОЛИЧЕСТВА ЗНАКОВ ПОСЛЕ ЗАПЯТОЙ</w:t>
      </w:r>
    </w:p>
    <w:p w:rsidR="004817B5" w:rsidRDefault="004817B5" w:rsidP="000004B6">
      <w:pPr>
        <w:ind w:left="142"/>
      </w:pPr>
    </w:p>
    <w:p w:rsidR="004817B5" w:rsidRDefault="00601494" w:rsidP="004817B5">
      <w:r>
        <w:rPr>
          <w:noProof/>
          <w:lang w:eastAsia="ru-RU"/>
        </w:rPr>
        <w:drawing>
          <wp:inline distT="0" distB="0" distL="0" distR="0">
            <wp:extent cx="2562225" cy="923925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CD" w:rsidRPr="004B7DCD" w:rsidRDefault="004B7DCD" w:rsidP="004B7DCD">
      <w:pPr>
        <w:ind w:left="142"/>
        <w:rPr>
          <w:rFonts w:ascii="Times New Roman" w:hAnsi="Times New Roman" w:cs="Times New Roman"/>
          <w:sz w:val="24"/>
          <w:szCs w:val="24"/>
        </w:rPr>
      </w:pPr>
      <w:r w:rsidRPr="004B7DC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B06E8" w:rsidRPr="003B6B9D" w:rsidRDefault="009B06E8" w:rsidP="003B6B9D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 – </w:t>
      </w:r>
      <w:proofErr w:type="gramStart"/>
      <w:r w:rsidRPr="003B6B9D">
        <w:rPr>
          <w:rFonts w:ascii="Times New Roman" w:hAnsi="Times New Roman" w:cs="Times New Roman"/>
        </w:rPr>
        <w:t>положение</w:t>
      </w:r>
      <w:proofErr w:type="gramEnd"/>
      <w:r w:rsidRPr="003B6B9D">
        <w:rPr>
          <w:rFonts w:ascii="Times New Roman" w:hAnsi="Times New Roman" w:cs="Times New Roman"/>
        </w:rPr>
        <w:t xml:space="preserve"> «</w:t>
      </w: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» </w:t>
      </w:r>
      <w:r w:rsidR="00AF389C" w:rsidRPr="003B6B9D">
        <w:rPr>
          <w:rFonts w:ascii="Times New Roman" w:hAnsi="Times New Roman" w:cs="Times New Roman"/>
        </w:rPr>
        <w:t xml:space="preserve">- </w:t>
      </w:r>
      <w:r w:rsidRPr="003B6B9D">
        <w:rPr>
          <w:rFonts w:ascii="Times New Roman" w:hAnsi="Times New Roman" w:cs="Times New Roman"/>
        </w:rPr>
        <w:t>плавающая запятая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4,3,2,1,0 указывает на 4,3,2,1 или 0 знаков после запятой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«А» (или «А</w:t>
      </w:r>
      <w:r w:rsidRPr="003B6B9D">
        <w:rPr>
          <w:rFonts w:ascii="Times New Roman" w:hAnsi="Times New Roman" w:cs="Times New Roman"/>
          <w:lang w:val="en-US"/>
        </w:rPr>
        <w:t>DD</w:t>
      </w:r>
      <w:r w:rsidRPr="003B6B9D">
        <w:rPr>
          <w:rFonts w:ascii="Times New Roman" w:hAnsi="Times New Roman" w:cs="Times New Roman"/>
        </w:rPr>
        <w:t>2») – автоматическое отделение запятой двух последних цифр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Если переключатель в положении “А”, то автоматически выбирается второе место после запятой (пример: если Вы нажмёте кнопку “8”, то получите значение 0.08), а если Вы нажмёте кнопку точка</w:t>
      </w:r>
      <w:proofErr w:type="gramStart"/>
      <w:r w:rsidRPr="003B6B9D">
        <w:rPr>
          <w:rFonts w:ascii="Times New Roman" w:hAnsi="Times New Roman" w:cs="Times New Roman"/>
        </w:rPr>
        <w:t xml:space="preserve"> [.], </w:t>
      </w:r>
      <w:proofErr w:type="gramEnd"/>
      <w:r w:rsidRPr="003B6B9D">
        <w:rPr>
          <w:rFonts w:ascii="Times New Roman" w:hAnsi="Times New Roman" w:cs="Times New Roman"/>
        </w:rPr>
        <w:t xml:space="preserve">эта позиция станет основной (этот режим бесполезен при умножении и делении). </w:t>
      </w:r>
    </w:p>
    <w:p w:rsidR="00E6184A" w:rsidRPr="00C7042F" w:rsidRDefault="00E6184A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0E4B21" w:rsidRPr="00543744" w:rsidRDefault="00AF3627" w:rsidP="000E4B21">
      <w:pPr>
        <w:rPr>
          <w:b/>
          <w:sz w:val="72"/>
          <w:szCs w:val="72"/>
        </w:rPr>
      </w:pPr>
      <w:r>
        <w:rPr>
          <w:b/>
          <w:sz w:val="72"/>
          <w:szCs w:val="72"/>
          <w:lang w:val="en-US"/>
        </w:rPr>
        <w:t>LCD</w:t>
      </w:r>
      <w:r w:rsidRPr="00BC5BDE">
        <w:rPr>
          <w:b/>
          <w:sz w:val="72"/>
          <w:szCs w:val="72"/>
        </w:rPr>
        <w:t xml:space="preserve"> </w:t>
      </w:r>
      <w:r w:rsidR="000E4B21" w:rsidRPr="00543744">
        <w:rPr>
          <w:b/>
          <w:sz w:val="72"/>
          <w:szCs w:val="72"/>
        </w:rPr>
        <w:t>ДИСПЛЕЙ</w:t>
      </w:r>
    </w:p>
    <w:p w:rsidR="000E4B21" w:rsidRPr="0005626F" w:rsidRDefault="000E4B21" w:rsidP="000E4B21">
      <w:pPr>
        <w:rPr>
          <w:sz w:val="28"/>
          <w:szCs w:val="28"/>
        </w:rPr>
      </w:pPr>
      <w:proofErr w:type="gramStart"/>
      <w:r w:rsidRPr="003D607F">
        <w:rPr>
          <w:sz w:val="28"/>
          <w:szCs w:val="28"/>
        </w:rPr>
        <w:t>М</w:t>
      </w:r>
      <w:proofErr w:type="gramEnd"/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Pr="003D607F">
        <w:rPr>
          <w:sz w:val="28"/>
          <w:szCs w:val="28"/>
        </w:rPr>
        <w:t xml:space="preserve"> 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независимая память </w:t>
      </w:r>
      <w:r>
        <w:rPr>
          <w:sz w:val="28"/>
          <w:szCs w:val="28"/>
          <w:lang w:val="en-US"/>
        </w:rPr>
        <w:t>II</w:t>
      </w:r>
    </w:p>
    <w:p w:rsidR="000E4B21" w:rsidRPr="00CA0CBA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proofErr w:type="gramStart"/>
      <w:r w:rsidR="0022531A">
        <w:rPr>
          <w:sz w:val="28"/>
          <w:szCs w:val="28"/>
          <w:lang w:val="en-US"/>
        </w:rPr>
        <w:t>I</w:t>
      </w:r>
      <w:proofErr w:type="gramEnd"/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="0022531A" w:rsidRPr="00C7042F">
        <w:rPr>
          <w:sz w:val="28"/>
          <w:szCs w:val="28"/>
        </w:rPr>
        <w:t xml:space="preserve"> 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>независимая память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</w:rPr>
        <w:t>- (-</w:t>
      </w:r>
      <w:r>
        <w:rPr>
          <w:sz w:val="28"/>
          <w:szCs w:val="28"/>
          <w:lang w:val="en-US"/>
        </w:rPr>
        <w:t>MINUS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число, следующее за этим символом – отрицательное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D541E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ERROR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Ошибка вычисления или переполнение стека памяти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</w:t>
      </w:r>
      <w:r>
        <w:rPr>
          <w:sz w:val="28"/>
          <w:szCs w:val="28"/>
          <w:lang w:val="en-US"/>
        </w:rPr>
        <w:t>ON</w:t>
      </w:r>
      <w:r w:rsidRPr="007D54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» или «АС», чтобы очистить все значения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«СЕ» чтобы очистить «</w:t>
      </w:r>
      <w:r>
        <w:rPr>
          <w:sz w:val="28"/>
          <w:szCs w:val="28"/>
          <w:lang w:val="en-US"/>
        </w:rPr>
        <w:t>ERROR</w:t>
      </w:r>
      <w:r>
        <w:rPr>
          <w:sz w:val="28"/>
          <w:szCs w:val="28"/>
        </w:rPr>
        <w:t>». Но данные на дисплее до сих пор в силе. Чтобы их получить, нажмите «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GT</w:t>
      </w:r>
      <w:r>
        <w:rPr>
          <w:sz w:val="28"/>
          <w:szCs w:val="28"/>
        </w:rPr>
        <w:t>»</w:t>
      </w:r>
    </w:p>
    <w:p w:rsidR="00F76213" w:rsidRDefault="00476EB4">
      <w:pPr>
        <w:rPr>
          <w:sz w:val="28"/>
          <w:szCs w:val="28"/>
        </w:rPr>
      </w:pPr>
      <w:r w:rsidRPr="00476EB4">
        <w:rPr>
          <w:sz w:val="28"/>
          <w:szCs w:val="28"/>
        </w:rPr>
        <w:t>После каждой операции</w:t>
      </w:r>
      <w:r>
        <w:rPr>
          <w:sz w:val="28"/>
          <w:szCs w:val="28"/>
        </w:rPr>
        <w:t xml:space="preserve"> нажимайте клавишу «АС», чтобы очистить сохраненные вычисления</w:t>
      </w:r>
    </w:p>
    <w:p w:rsidR="00E73C13" w:rsidRDefault="00E73C13" w:rsidP="00E73C13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КАК ЗАМЕНИТЬ БАТАРЕЙКУ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имеет двойное питание:</w:t>
      </w:r>
    </w:p>
    <w:p w:rsidR="00E73C13" w:rsidRPr="00E73C13" w:rsidRDefault="00E73C13" w:rsidP="00E73C13">
      <w:pPr>
        <w:pStyle w:val="a5"/>
        <w:ind w:left="0"/>
        <w:jc w:val="both"/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Солнечная энергия и Батарейки с напряжением 1.5</w:t>
      </w:r>
      <w:r w:rsidRPr="00E73C13">
        <w:rPr>
          <w:rFonts w:ascii="Times New Roman" w:hAnsi="Times New Roman" w:cs="Times New Roman"/>
          <w:noProof/>
          <w:lang w:val="en-US" w:eastAsia="ru-RU"/>
        </w:rPr>
        <w:t>V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отключается автоматически после 5-12 минут бездействия. Когда дисплей становится тусклым, это означает, что пришло время заменить батарейку. Вы можете использовать энергию солнца для зарядки или заменить батарейку.</w:t>
      </w:r>
    </w:p>
    <w:p w:rsidR="00E73C13" w:rsidRPr="00C7042F" w:rsidRDefault="00E73C13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245931" w:rsidRPr="00F76213" w:rsidRDefault="00245931" w:rsidP="00245931">
      <w:pPr>
        <w:rPr>
          <w:b/>
          <w:sz w:val="72"/>
          <w:szCs w:val="72"/>
        </w:rPr>
      </w:pPr>
      <w:r w:rsidRPr="00035F44">
        <w:rPr>
          <w:b/>
          <w:sz w:val="56"/>
          <w:szCs w:val="56"/>
        </w:rPr>
        <w:lastRenderedPageBreak/>
        <w:t>Примеры</w:t>
      </w:r>
      <w:r w:rsidRPr="00F76213">
        <w:rPr>
          <w:b/>
          <w:sz w:val="72"/>
          <w:szCs w:val="72"/>
        </w:rPr>
        <w:t xml:space="preserve"> </w:t>
      </w:r>
      <w:r w:rsidRPr="00035F44">
        <w:rPr>
          <w:b/>
          <w:sz w:val="56"/>
          <w:szCs w:val="56"/>
        </w:rPr>
        <w:t>вычислений</w:t>
      </w:r>
    </w:p>
    <w:p w:rsidR="00E73C13" w:rsidRDefault="00245931">
      <w:pPr>
        <w:rPr>
          <w:sz w:val="28"/>
          <w:szCs w:val="28"/>
        </w:rPr>
      </w:pPr>
      <w:r w:rsidRPr="0024593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17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13" w:rsidRDefault="00E73C13">
      <w:pPr>
        <w:rPr>
          <w:sz w:val="28"/>
          <w:szCs w:val="28"/>
        </w:rPr>
      </w:pPr>
    </w:p>
    <w:p w:rsidR="00714A21" w:rsidRDefault="000E4B21">
      <w:pPr>
        <w:rPr>
          <w:sz w:val="28"/>
          <w:szCs w:val="28"/>
          <w:lang w:val="en-US"/>
        </w:rPr>
      </w:pPr>
      <w:r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547995" cy="35242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48C" w:rsidRDefault="0018148C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Pr="00F637F1" w:rsidRDefault="00F637F1">
      <w:pPr>
        <w:rPr>
          <w:sz w:val="28"/>
          <w:szCs w:val="28"/>
        </w:rPr>
      </w:pPr>
    </w:p>
    <w:p w:rsidR="0018148C" w:rsidRPr="00861AD2" w:rsidRDefault="0018148C" w:rsidP="0018148C">
      <w:pPr>
        <w:jc w:val="both"/>
        <w:rPr>
          <w:b/>
        </w:rPr>
      </w:pPr>
      <w:r w:rsidRPr="00861AD2">
        <w:rPr>
          <w:b/>
          <w:highlight w:val="lightGray"/>
        </w:rPr>
        <w:lastRenderedPageBreak/>
        <w:t>ГАРАНТИИ</w:t>
      </w:r>
    </w:p>
    <w:p w:rsidR="0018148C" w:rsidRDefault="0018148C" w:rsidP="0018148C">
      <w:pPr>
        <w:jc w:val="both"/>
      </w:pPr>
      <w:proofErr w:type="gramStart"/>
      <w:r>
        <w:t>С даты покупки</w:t>
      </w:r>
      <w:proofErr w:type="gramEnd"/>
      <w: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</w:t>
      </w:r>
      <w:r w:rsidRPr="00600AA8">
        <w:t>не име</w:t>
      </w:r>
      <w:r>
        <w:t>ет</w:t>
      </w:r>
      <w:r w:rsidRPr="00600AA8">
        <w:t xml:space="preserve"> дефектов с точки зрения качества материала и изготовления</w:t>
      </w:r>
      <w:r>
        <w:t xml:space="preserve">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</w:t>
      </w:r>
      <w:r w:rsidRPr="0092623D">
        <w:t xml:space="preserve"> </w:t>
      </w:r>
      <w:r>
        <w:t>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18148C" w:rsidRDefault="0018148C" w:rsidP="0018148C">
      <w:pPr>
        <w:jc w:val="both"/>
      </w:pPr>
    </w:p>
    <w:p w:rsidR="0018148C" w:rsidRPr="00EE7EFB" w:rsidRDefault="0018148C" w:rsidP="0018148C">
      <w:pPr>
        <w:jc w:val="both"/>
        <w:rPr>
          <w:b/>
        </w:rPr>
      </w:pPr>
      <w:r w:rsidRPr="00EE7EFB">
        <w:rPr>
          <w:b/>
          <w:highlight w:val="lightGray"/>
        </w:rPr>
        <w:t>ИСКЛЮЧЕНИЯ ИЗ ГАРАНТИИ</w:t>
      </w:r>
    </w:p>
    <w:p w:rsidR="0018148C" w:rsidRPr="00600AA8" w:rsidRDefault="0018148C" w:rsidP="0018148C">
      <w:pPr>
        <w:jc w:val="both"/>
      </w:pPr>
      <w: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18148C" w:rsidRDefault="0018148C" w:rsidP="0018148C">
      <w:pPr>
        <w:jc w:val="both"/>
      </w:pPr>
      <w: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18148C" w:rsidRDefault="0018148C" w:rsidP="0018148C">
      <w:pPr>
        <w:jc w:val="both"/>
      </w:pPr>
      <w: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18148C" w:rsidRDefault="0018148C" w:rsidP="0018148C">
      <w:pPr>
        <w:jc w:val="both"/>
      </w:pPr>
      <w: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18148C" w:rsidRDefault="0018148C" w:rsidP="0018148C">
      <w:pPr>
        <w:jc w:val="both"/>
      </w:pPr>
      <w: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18148C" w:rsidRDefault="0018148C" w:rsidP="0018148C">
      <w:pPr>
        <w:jc w:val="both"/>
      </w:pPr>
      <w: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18148C" w:rsidRDefault="0018148C" w:rsidP="0018148C">
      <w:pPr>
        <w:jc w:val="both"/>
      </w:pPr>
      <w:r>
        <w:t>(7) Претензии не принимаются без предъявления подтверждения покупки при обращении за обслуживанием.</w:t>
      </w:r>
    </w:p>
    <w:p w:rsidR="0018148C" w:rsidRDefault="0018148C" w:rsidP="0018148C">
      <w:pPr>
        <w:jc w:val="both"/>
      </w:pPr>
      <w:r>
        <w:t>(8) За детали и выполненную работу будет взиматься плата при выполнении ремонта после истечения гарантийного срока.</w:t>
      </w:r>
    </w:p>
    <w:p w:rsidR="0018148C" w:rsidRDefault="0018148C" w:rsidP="0018148C">
      <w:pPr>
        <w:jc w:val="both"/>
      </w:pPr>
      <w:r>
        <w:t>(9) Настоящий гарантийный талон действителен для выполнения обслуживания только в стране покупки.</w:t>
      </w:r>
    </w:p>
    <w:p w:rsidR="0018148C" w:rsidRPr="0018148C" w:rsidRDefault="0018148C" w:rsidP="0018148C">
      <w:pPr>
        <w:rPr>
          <w:sz w:val="28"/>
          <w:szCs w:val="28"/>
        </w:rPr>
      </w:pPr>
      <w:r>
        <w:br w:type="page"/>
      </w:r>
    </w:p>
    <w:p w:rsidR="0018148C" w:rsidRPr="0018148C" w:rsidRDefault="0018148C">
      <w:pPr>
        <w:rPr>
          <w:sz w:val="28"/>
          <w:szCs w:val="28"/>
        </w:rPr>
      </w:pPr>
    </w:p>
    <w:p w:rsidR="0018148C" w:rsidRPr="00A26AEF" w:rsidRDefault="0018148C" w:rsidP="0018148C">
      <w:pPr>
        <w:jc w:val="center"/>
        <w:rPr>
          <w:b/>
        </w:rPr>
      </w:pPr>
      <w:r w:rsidRPr="00A26AEF">
        <w:rPr>
          <w:b/>
        </w:rPr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Наименование изделия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Гарантийный срок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  <w:r>
              <w:t xml:space="preserve">3 года </w:t>
            </w:r>
            <w:proofErr w:type="gramStart"/>
            <w:r>
              <w:t>с даты покупки</w:t>
            </w:r>
            <w:proofErr w:type="gramEnd"/>
            <w:r>
              <w:t xml:space="preserve"> ____________</w:t>
            </w:r>
          </w:p>
        </w:tc>
      </w:tr>
      <w:tr w:rsidR="0018148C" w:rsidTr="00D70B79">
        <w:tc>
          <w:tcPr>
            <w:tcW w:w="9571" w:type="dxa"/>
            <w:gridSpan w:val="2"/>
          </w:tcPr>
          <w:p w:rsidR="0018148C" w:rsidRDefault="0018148C" w:rsidP="00D70B79">
            <w:pPr>
              <w:jc w:val="both"/>
            </w:pPr>
            <w:r>
              <w:t>Информация о покупателе</w:t>
            </w:r>
          </w:p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Покупатель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Адрес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Телефон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9571" w:type="dxa"/>
            <w:gridSpan w:val="2"/>
          </w:tcPr>
          <w:p w:rsidR="0018148C" w:rsidRDefault="0018148C" w:rsidP="00D70B79">
            <w:pPr>
              <w:jc w:val="both"/>
            </w:pPr>
            <w:r>
              <w:t>Информация о розничном продавце</w:t>
            </w:r>
          </w:p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Розничный продавец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Адрес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Телефон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</w:tbl>
    <w:p w:rsidR="0018148C" w:rsidRDefault="0018148C" w:rsidP="001E3270">
      <w:pPr>
        <w:rPr>
          <w:lang w:val="en-US"/>
        </w:rPr>
      </w:pPr>
    </w:p>
    <w:p w:rsidR="002C59DD" w:rsidRDefault="002C59DD" w:rsidP="002C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2C59DD" w:rsidRDefault="002C59DD" w:rsidP="002C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2C59DD" w:rsidRDefault="002C59DD" w:rsidP="002C59D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2C59DD" w:rsidRDefault="002C59DD" w:rsidP="002C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2C59DD" w:rsidRDefault="002C59DD" w:rsidP="002C5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2C59DD" w:rsidRDefault="002C59DD" w:rsidP="002C59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59DD" w:rsidRDefault="002C59DD" w:rsidP="002C59DD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2C59DD" w:rsidRDefault="002C59DD" w:rsidP="002C59DD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2C59DD" w:rsidRDefault="002C59DD" w:rsidP="002C59DD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2C59DD" w:rsidRDefault="002C59DD" w:rsidP="002C59DD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2C59DD" w:rsidRDefault="002C59DD" w:rsidP="002C59DD">
      <w:r>
        <w:rPr>
          <w:rFonts w:ascii="Calibri" w:hAnsi="Calibri"/>
        </w:rPr>
        <w:t xml:space="preserve">Тел.: +74992882782, адрес электронной почты: </w:t>
      </w:r>
      <w:hyperlink r:id="rId19" w:history="1">
        <w:r>
          <w:rPr>
            <w:rStyle w:val="aa"/>
            <w:rFonts w:ascii="Calibri" w:hAnsi="Calibri"/>
          </w:rPr>
          <w:t>info@deli-cis.com</w:t>
        </w:r>
      </w:hyperlink>
    </w:p>
    <w:p w:rsidR="00F76213" w:rsidRDefault="00F76213">
      <w:pPr>
        <w:rPr>
          <w:b/>
          <w:sz w:val="72"/>
          <w:szCs w:val="72"/>
        </w:rPr>
      </w:pPr>
    </w:p>
    <w:p w:rsidR="00714A21" w:rsidRDefault="00714A21">
      <w:pPr>
        <w:rPr>
          <w:b/>
          <w:sz w:val="56"/>
          <w:szCs w:val="56"/>
        </w:rPr>
      </w:pPr>
    </w:p>
    <w:p w:rsidR="00DC7E3D" w:rsidRPr="001E3270" w:rsidRDefault="00DC7E3D">
      <w:pPr>
        <w:rPr>
          <w:sz w:val="40"/>
          <w:szCs w:val="40"/>
        </w:rPr>
      </w:pPr>
    </w:p>
    <w:p w:rsidR="00DC7E3D" w:rsidRDefault="00DC7E3D"/>
    <w:p w:rsidR="00DC7E3D" w:rsidRDefault="00DC7E3D"/>
    <w:p w:rsidR="00DC7E3D" w:rsidRDefault="00DC7E3D"/>
    <w:p w:rsidR="00DC7E3D" w:rsidRPr="008F0117" w:rsidRDefault="00DC7E3D">
      <w:pPr>
        <w:rPr>
          <w:b/>
          <w:sz w:val="56"/>
          <w:szCs w:val="56"/>
        </w:rPr>
      </w:pPr>
    </w:p>
    <w:p w:rsidR="00DC7E3D" w:rsidRDefault="00DC7E3D"/>
    <w:p w:rsidR="00DC7E3D" w:rsidRPr="001E3270" w:rsidRDefault="00DC7E3D"/>
    <w:p w:rsidR="00EE2F1D" w:rsidRPr="001E3270" w:rsidRDefault="00EE2F1D"/>
    <w:p w:rsidR="00EE2F1D" w:rsidRPr="001E3270" w:rsidRDefault="00EE2F1D"/>
    <w:p w:rsidR="00EE2F1D" w:rsidRPr="001E3270" w:rsidRDefault="00EE2F1D"/>
    <w:p w:rsidR="00EE2F1D" w:rsidRPr="001E3270" w:rsidRDefault="00EE2F1D"/>
    <w:p w:rsidR="00DC7E3D" w:rsidRPr="001E3270" w:rsidRDefault="00DC7E3D"/>
    <w:sectPr w:rsidR="00DC7E3D" w:rsidRPr="001E3270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2F" w:rsidRDefault="004F0D2F" w:rsidP="00854FB6">
      <w:pPr>
        <w:spacing w:after="0" w:line="240" w:lineRule="auto"/>
      </w:pPr>
      <w:r>
        <w:separator/>
      </w:r>
    </w:p>
  </w:endnote>
  <w:endnote w:type="continuationSeparator" w:id="0">
    <w:p w:rsidR="004F0D2F" w:rsidRDefault="004F0D2F" w:rsidP="0085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2F" w:rsidRDefault="004F0D2F" w:rsidP="00854FB6">
      <w:pPr>
        <w:spacing w:after="0" w:line="240" w:lineRule="auto"/>
      </w:pPr>
      <w:r>
        <w:separator/>
      </w:r>
    </w:p>
  </w:footnote>
  <w:footnote w:type="continuationSeparator" w:id="0">
    <w:p w:rsidR="004F0D2F" w:rsidRDefault="004F0D2F" w:rsidP="0085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644C47"/>
    <w:multiLevelType w:val="hybridMultilevel"/>
    <w:tmpl w:val="07B033BA"/>
    <w:lvl w:ilvl="0" w:tplc="5E14C02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0A5713"/>
    <w:multiLevelType w:val="hybridMultilevel"/>
    <w:tmpl w:val="A92A5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EC9"/>
    <w:rsid w:val="000004B6"/>
    <w:rsid w:val="00007B73"/>
    <w:rsid w:val="00035F44"/>
    <w:rsid w:val="00064EFD"/>
    <w:rsid w:val="00080962"/>
    <w:rsid w:val="000A5C3A"/>
    <w:rsid w:val="000D4963"/>
    <w:rsid w:val="000E114D"/>
    <w:rsid w:val="000E4B21"/>
    <w:rsid w:val="00101A75"/>
    <w:rsid w:val="0018148C"/>
    <w:rsid w:val="001E3270"/>
    <w:rsid w:val="001F7638"/>
    <w:rsid w:val="0022531A"/>
    <w:rsid w:val="002335BE"/>
    <w:rsid w:val="00245931"/>
    <w:rsid w:val="00246A82"/>
    <w:rsid w:val="00257B85"/>
    <w:rsid w:val="00280167"/>
    <w:rsid w:val="0029611E"/>
    <w:rsid w:val="002C4799"/>
    <w:rsid w:val="002C59DD"/>
    <w:rsid w:val="002E2CC2"/>
    <w:rsid w:val="00331EDB"/>
    <w:rsid w:val="003A5061"/>
    <w:rsid w:val="003A61F6"/>
    <w:rsid w:val="003B6B9D"/>
    <w:rsid w:val="00476EB4"/>
    <w:rsid w:val="004817B5"/>
    <w:rsid w:val="004B7DCD"/>
    <w:rsid w:val="004F0D2F"/>
    <w:rsid w:val="004F38CC"/>
    <w:rsid w:val="00504A6C"/>
    <w:rsid w:val="00583F3A"/>
    <w:rsid w:val="005A36FF"/>
    <w:rsid w:val="005C5025"/>
    <w:rsid w:val="005C7201"/>
    <w:rsid w:val="005E1907"/>
    <w:rsid w:val="005F5080"/>
    <w:rsid w:val="00601494"/>
    <w:rsid w:val="006146A7"/>
    <w:rsid w:val="006151A7"/>
    <w:rsid w:val="006305F5"/>
    <w:rsid w:val="00635470"/>
    <w:rsid w:val="00690718"/>
    <w:rsid w:val="006E4AA3"/>
    <w:rsid w:val="00714A21"/>
    <w:rsid w:val="00716551"/>
    <w:rsid w:val="00731158"/>
    <w:rsid w:val="007669F9"/>
    <w:rsid w:val="007943C0"/>
    <w:rsid w:val="007E3D91"/>
    <w:rsid w:val="007F53F4"/>
    <w:rsid w:val="00804590"/>
    <w:rsid w:val="0083755B"/>
    <w:rsid w:val="00854FB6"/>
    <w:rsid w:val="008728BB"/>
    <w:rsid w:val="008F0117"/>
    <w:rsid w:val="00940D94"/>
    <w:rsid w:val="009B06E8"/>
    <w:rsid w:val="009B0EC9"/>
    <w:rsid w:val="00A07A76"/>
    <w:rsid w:val="00A1016E"/>
    <w:rsid w:val="00A51CEE"/>
    <w:rsid w:val="00A55F0D"/>
    <w:rsid w:val="00A86F84"/>
    <w:rsid w:val="00AE6AC0"/>
    <w:rsid w:val="00AF3627"/>
    <w:rsid w:val="00AF389C"/>
    <w:rsid w:val="00B8015D"/>
    <w:rsid w:val="00BA7A0F"/>
    <w:rsid w:val="00BC5BDE"/>
    <w:rsid w:val="00C04E94"/>
    <w:rsid w:val="00C2450A"/>
    <w:rsid w:val="00C40613"/>
    <w:rsid w:val="00C463BD"/>
    <w:rsid w:val="00C62D56"/>
    <w:rsid w:val="00C67003"/>
    <w:rsid w:val="00C7042F"/>
    <w:rsid w:val="00C9368B"/>
    <w:rsid w:val="00CA6B66"/>
    <w:rsid w:val="00CB0227"/>
    <w:rsid w:val="00CB4679"/>
    <w:rsid w:val="00D30C24"/>
    <w:rsid w:val="00DB68D6"/>
    <w:rsid w:val="00DC7E3D"/>
    <w:rsid w:val="00E137DB"/>
    <w:rsid w:val="00E17D50"/>
    <w:rsid w:val="00E212E6"/>
    <w:rsid w:val="00E21F6F"/>
    <w:rsid w:val="00E2671F"/>
    <w:rsid w:val="00E46DD2"/>
    <w:rsid w:val="00E6184A"/>
    <w:rsid w:val="00E73C13"/>
    <w:rsid w:val="00E97257"/>
    <w:rsid w:val="00EE2F1D"/>
    <w:rsid w:val="00F35C29"/>
    <w:rsid w:val="00F600CF"/>
    <w:rsid w:val="00F637F1"/>
    <w:rsid w:val="00F65C8B"/>
    <w:rsid w:val="00F76213"/>
    <w:rsid w:val="00FA796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854F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4F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854FB6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C5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mailto:info@deli-ci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34</cp:revision>
  <dcterms:created xsi:type="dcterms:W3CDTF">2020-09-10T14:17:00Z</dcterms:created>
  <dcterms:modified xsi:type="dcterms:W3CDTF">2021-12-28T08:57:00Z</dcterms:modified>
</cp:coreProperties>
</file>